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D6565" w14:textId="19F6E500" w:rsidR="00AC303C" w:rsidRDefault="00AC303C" w:rsidP="00086959">
      <w:pPr>
        <w:widowControl w:val="0"/>
        <w:tabs>
          <w:tab w:val="left" w:pos="1276"/>
        </w:tabs>
        <w:spacing w:line="340" w:lineRule="exact"/>
        <w:ind w:firstLine="567"/>
        <w:jc w:val="center"/>
        <w:rPr>
          <w:rFonts w:eastAsia="Calibri"/>
          <w:b/>
          <w:sz w:val="28"/>
          <w:szCs w:val="28"/>
        </w:rPr>
      </w:pPr>
      <w:r>
        <w:rPr>
          <w:rFonts w:eastAsia="Calibri"/>
          <w:b/>
          <w:sz w:val="28"/>
          <w:szCs w:val="28"/>
        </w:rPr>
        <w:t>PHỤ LỤC</w:t>
      </w:r>
    </w:p>
    <w:p w14:paraId="1337C090" w14:textId="541EF72D" w:rsidR="00086959" w:rsidRDefault="00086959" w:rsidP="00086959">
      <w:pPr>
        <w:widowControl w:val="0"/>
        <w:tabs>
          <w:tab w:val="left" w:pos="1276"/>
        </w:tabs>
        <w:spacing w:line="340" w:lineRule="exact"/>
        <w:ind w:firstLine="567"/>
        <w:jc w:val="center"/>
        <w:rPr>
          <w:rFonts w:eastAsia="Calibri"/>
          <w:b/>
          <w:sz w:val="28"/>
          <w:szCs w:val="28"/>
        </w:rPr>
      </w:pPr>
      <w:r>
        <w:rPr>
          <w:rFonts w:eastAsia="Calibri"/>
          <w:b/>
          <w:sz w:val="28"/>
          <w:szCs w:val="28"/>
        </w:rPr>
        <w:t xml:space="preserve">MỘT SỐ YÊU CẦU ĐỐI VỚI KHÁCH HÀNG TRÚNG ĐẤU GÁ </w:t>
      </w:r>
      <w:r w:rsidRPr="003E2267">
        <w:rPr>
          <w:rFonts w:eastAsia="Calibri"/>
          <w:b/>
          <w:sz w:val="28"/>
          <w:szCs w:val="28"/>
        </w:rPr>
        <w:t>KHAI THÁC TÀI SẢN CÔNG PHỤC VỤ HOẠT ĐỘNG CUNG CẤP DỊCH VỤ ĂN UỐNG TẠI BỆNH VIỆ</w:t>
      </w:r>
      <w:r>
        <w:rPr>
          <w:rFonts w:eastAsia="Calibri"/>
          <w:b/>
          <w:sz w:val="28"/>
          <w:szCs w:val="28"/>
        </w:rPr>
        <w:t>N</w:t>
      </w:r>
    </w:p>
    <w:p w14:paraId="5CE2FE0C" w14:textId="6402EAD0" w:rsidR="00086959" w:rsidRPr="003E2267" w:rsidRDefault="00086959" w:rsidP="00086959">
      <w:pPr>
        <w:widowControl w:val="0"/>
        <w:tabs>
          <w:tab w:val="left" w:pos="1276"/>
        </w:tabs>
        <w:spacing w:line="340" w:lineRule="exact"/>
        <w:ind w:firstLine="567"/>
        <w:jc w:val="center"/>
        <w:rPr>
          <w:rFonts w:eastAsia="Calibri"/>
          <w:i/>
          <w:sz w:val="28"/>
          <w:szCs w:val="28"/>
        </w:rPr>
      </w:pPr>
      <w:r w:rsidRPr="00E173A6">
        <w:rPr>
          <w:rFonts w:eastAsia="Calibri"/>
          <w:i/>
          <w:sz w:val="28"/>
          <w:szCs w:val="28"/>
        </w:rPr>
        <w:t xml:space="preserve">(kèm theo </w:t>
      </w:r>
      <w:r>
        <w:rPr>
          <w:rFonts w:eastAsia="Calibri"/>
          <w:i/>
          <w:sz w:val="28"/>
          <w:szCs w:val="28"/>
        </w:rPr>
        <w:t xml:space="preserve">Quy chế số </w:t>
      </w:r>
      <w:r w:rsidR="00EB10E7">
        <w:rPr>
          <w:rFonts w:eastAsia="Calibri"/>
          <w:i/>
          <w:sz w:val="28"/>
          <w:szCs w:val="28"/>
        </w:rPr>
        <w:t>131</w:t>
      </w:r>
      <w:r>
        <w:rPr>
          <w:rFonts w:eastAsia="Calibri"/>
          <w:i/>
          <w:sz w:val="28"/>
          <w:szCs w:val="28"/>
        </w:rPr>
        <w:t>/ QC-TTDVĐGTS ngày 22/10/2026 của Trung tâm Dịch vụ đấu giá tài sản tỉnh Hưng Yên</w:t>
      </w:r>
      <w:r w:rsidRPr="00E173A6">
        <w:rPr>
          <w:rFonts w:eastAsia="Calibri"/>
          <w:i/>
          <w:sz w:val="28"/>
          <w:szCs w:val="28"/>
        </w:rPr>
        <w:t>)</w:t>
      </w:r>
    </w:p>
    <w:p w14:paraId="0B38F2DF"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1. Yêu cầu về cơ sở vật chất và trang thiết bị</w:t>
      </w:r>
    </w:p>
    <w:p w14:paraId="22CA06B1" w14:textId="420EE5C6"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Hiện nay, danh mục tài sản </w:t>
      </w:r>
      <w:r>
        <w:rPr>
          <w:rFonts w:eastAsia="Calibri"/>
          <w:sz w:val="28"/>
          <w:szCs w:val="28"/>
        </w:rPr>
        <w:t>đưa ra đấu giá</w:t>
      </w:r>
      <w:r w:rsidRPr="003E2267">
        <w:rPr>
          <w:rFonts w:eastAsia="Calibri"/>
          <w:sz w:val="28"/>
          <w:szCs w:val="28"/>
        </w:rPr>
        <w:t xml:space="preserve"> đang được 01 đơn vị đang khai thác, sử dụng đến hết ngày 10/11/2026 theo hợp đồng đã ký kết với Bệnh viện. Theo điều khoản hợp đồng quy định, sau khi hết thời hạn thực hiện hợp đồng:</w:t>
      </w:r>
    </w:p>
    <w:p w14:paraId="3B6F7830"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Bên được khai thác được quyền thu hồi lại tài sản đã đầu tư, mua sắm để phục vụ cho việc cung cấp dịch vụ. </w:t>
      </w:r>
    </w:p>
    <w:p w14:paraId="3E6292A5"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Riêng đối với các hạng mục, hệ thống, tài sản bên được khai thác đầu tư mới, cải tạo, nâng cấp và gắn liền với công trình, tài sản công, khi việc tháo dỡ, di chuyển làm ảnh hưởng đến kết cấu, công năng, giá trị sử dụng của công trình hoặc tài sản công, thì phần giá trị tài sản đầu tư thêm này thuộc về Bệnh viện sau khi hết thời hạn hợp đồng.</w:t>
      </w:r>
    </w:p>
    <w:p w14:paraId="66A0892C"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Tổ chức, cá nhân khi trúng đấu giá quyền khai thác tài sản công phục vụ hoạt động cung cấp dịch vụ ăn uống tại Bệnh viện được nhận bàn giao tài sản công và có trách nhiệm tự đầu tư, mua sắm tài sản, trang thiết bị và tổ chức cung cấp dịch vụ ăn uống </w:t>
      </w:r>
      <w:r w:rsidRPr="003E2267">
        <w:rPr>
          <w:rFonts w:eastAsia="Calibri"/>
          <w:b/>
          <w:sz w:val="28"/>
          <w:szCs w:val="28"/>
        </w:rPr>
        <w:t>trong vòng 03 ngày làm việc</w:t>
      </w:r>
      <w:r w:rsidRPr="003E2267">
        <w:rPr>
          <w:rFonts w:eastAsia="Calibri"/>
          <w:sz w:val="28"/>
          <w:szCs w:val="28"/>
        </w:rPr>
        <w:t xml:space="preserve"> kể từ ngày nhận bàn giao bảo đảm hạn chế tối đa việc gián đoạn dịch vụ, ảnh hưởng trực tiếp đến bệnh nhân, người nhà bệnh nhân,...cũng như hoạt động khám bệnh, chữa bệnh của Bệnh viện.</w:t>
      </w:r>
    </w:p>
    <w:p w14:paraId="37BB56E5" w14:textId="77777777" w:rsidR="00086959" w:rsidRPr="00FC7448" w:rsidRDefault="00086959" w:rsidP="00086959">
      <w:pPr>
        <w:widowControl w:val="0"/>
        <w:tabs>
          <w:tab w:val="left" w:pos="1276"/>
        </w:tabs>
        <w:spacing w:line="340" w:lineRule="exact"/>
        <w:ind w:firstLine="567"/>
        <w:rPr>
          <w:rFonts w:eastAsia="Calibri"/>
          <w:b/>
          <w:sz w:val="28"/>
          <w:szCs w:val="28"/>
        </w:rPr>
      </w:pPr>
      <w:r w:rsidRPr="003E2267">
        <w:rPr>
          <w:rFonts w:eastAsia="Calibri"/>
          <w:sz w:val="28"/>
          <w:szCs w:val="28"/>
        </w:rPr>
        <w:t xml:space="preserve">- Tổ chức, cá nhân có trách nhiệm tự quản lý, bảo quản hàng hóa, máy móc, thiết bị và các tài sản khác do mình đưa đến để phục vụ hoạt động khai thác tài sản công; đồng thời </w:t>
      </w:r>
      <w:r w:rsidRPr="00FC7448">
        <w:rPr>
          <w:rFonts w:eastAsia="Calibri"/>
          <w:b/>
          <w:sz w:val="28"/>
          <w:szCs w:val="28"/>
        </w:rPr>
        <w:t>không được</w:t>
      </w:r>
      <w:r>
        <w:rPr>
          <w:rFonts w:eastAsia="Calibri"/>
          <w:b/>
          <w:sz w:val="28"/>
          <w:szCs w:val="28"/>
        </w:rPr>
        <w:t xml:space="preserve"> ủy quyền,</w:t>
      </w:r>
      <w:r w:rsidRPr="00FC7448">
        <w:rPr>
          <w:rFonts w:eastAsia="Calibri"/>
          <w:b/>
          <w:sz w:val="28"/>
          <w:szCs w:val="28"/>
        </w:rPr>
        <w:t xml:space="preserve"> cho thuê lại, chuyển nhượng, thế chấp, góp vốn, hợp tác kinh doanh hoặc thực hiện bất kỳ hình thức chuyển giao quyền khai thác, quyền sử dụng nào cho bên thứ ba.</w:t>
      </w:r>
    </w:p>
    <w:p w14:paraId="290156F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Tuân thủ đầy đủ các quy định của pháp luật về quản lý, sử dụng tài sản công và bảo đảm việc khai thác tài sản công đúng mục đích, đúng nguyên tắc theo quy định hiện hành.</w:t>
      </w:r>
    </w:p>
    <w:p w14:paraId="337268B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Bàn giao tài sản công cho Bệnh viện khi hết thời hạn thực hiện hợp đồng hoặc khi chấm dứt hợp đồng theo đúng quy định của pháp luật về tài sản công.</w:t>
      </w:r>
    </w:p>
    <w:p w14:paraId="47293C81"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Đối với phần giá trị tài sản đầu tư thêm để nâng cao giá trị sử dụng của tài sản, Tổ chức, cá nhân thực hiện quyền khai thác phải có văn bản đề xuất và chỉ được thực hiện sau khi có sự chấp thuận bằng văn bản của Bệnh viện. Riêng đối với các hạng mục, hệ thống, tài sản bên được khai thác đầu tư mới, cải tạo, nâng cấp và gắn liền với công trình, tài sản công, khi việc tháo dỡ, di chuyển làm ảnh hưởng đến kết cấu, công năng, giá trị sử dụng của công trình hoặc tài sản công, thì phần giá trị tài sản đầu tư thêm này thuộc về Bệnh viện sau khi kết thúc hoặc chấm dứt hợp đồng trước thời hạn.</w:t>
      </w:r>
    </w:p>
    <w:p w14:paraId="140307E5"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2. Yêu cầu về việc sử dụng điện, nước</w:t>
      </w:r>
    </w:p>
    <w:p w14:paraId="5352864D"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lastRenderedPageBreak/>
        <w:t>- Bệnh viện bố trí công tơ điện và đồng hồ nước riêng phục vụ hoạt động khai thác tài sản công của tổ chức, cá nhân. Hằng tháng, hai bên thống nhất chốt chỉ số tiêu thụ; Tổ chức, cá nhân thực hiện quyền khai thác có trách nhiệm thanh toán đầy đủ chi phí điện, nước theo lượng sử dụng thực tế và đơn giá hiện hành do cơ quan Nhà nước có thẩm quyền quy định.</w:t>
      </w:r>
    </w:p>
    <w:p w14:paraId="1FF714F6"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có trách nhiệm sử dụng điện, nước tiết kiệm, đúng mục đích và bảo đảm an toàn trong quá trình sử dụng; không được tự ý đấu nối, thay đổi, cải tạo, di dời hoặc tác động vào hệ thống điện, nước và các thiết bị đo đếm điện, nước thuộc phạm vi quản lý của Bệnh viện khi chưa được Bệnh viện chấp thuận bằng văn bản.</w:t>
      </w:r>
    </w:p>
    <w:p w14:paraId="64EBE4CD"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Mọi chi phí phát sinh do việc sử dụng điện, nước vượt quy định, gây hư hỏng hệ thống hoặc do lỗi của tổ chức, cá nhân thực hiện quyền khai thác thì tổ chức, cá nhân có trách nhiệm khắc phục và bồi thường theo quy định.</w:t>
      </w:r>
    </w:p>
    <w:p w14:paraId="48B57898"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3. Yêu cầu về phòng cháy, chữa cháy</w:t>
      </w:r>
    </w:p>
    <w:p w14:paraId="74E03D2D"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có trách nhiệm tuân thủ đầy đủ các quy định của pháp luật về phòng cháy, chữa cháy và cứu nạn, cứu hộ.</w:t>
      </w:r>
    </w:p>
    <w:p w14:paraId="5997DF0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Trong phạm vi tài sản, khu vực và hoạt động được giao khai thác, Tổ chức, cá nhân thực hiện quyền khai thác có trách nhiệm:</w:t>
      </w:r>
    </w:p>
    <w:p w14:paraId="32532CB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Bảo đảm đầy đủ các điều kiện an toàn về phòng cháy, chữa cháy và cứu nạn, cứu hộ phù hợp với tính chất, quy mô và loại hình hoạt động; chủ động trang bị, duy trì, kiểm tra, bảo dưỡng và bổ sung phương tiện, thiết bị phòng cháy, chữa cháy theo quy định của pháp luật. Mọi chi phí phát sinh thuộc trách nhiệm của Tổ chức, cá nhân thực hiện quyền khai thác;</w:t>
      </w:r>
    </w:p>
    <w:p w14:paraId="3BE72BE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Xây dựng, ban hành và tổ chức thực hiện nội quy, quy định về phòng cháy, chữa cháy; bố trí, niêm yết đầy đủ biển báo, biển cấm, biển chỉ dẫn và các cảnh báo cần thiết tại khu vực khai thác; bảo đảm các lối đi, lối thoát nạn, đường tiếp cận phục vụ chữa cháy và cứu nạn, cứu hộ luôn được duy trì thông thoáng, không bị che chắn, cản trở;</w:t>
      </w:r>
    </w:p>
    <w:p w14:paraId="2E8C9C21"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tuyên truyền, phổ biến, huấn luyện, bồi dưỡng nghiệp vụ về phòng cháy, chữa cháy và cứu nạn, cứu hộ cho người lao động thuộc phạm vi quản lý theo quy định; chủ động xây dựng và tổ chức thực hiện phương án xử lý, ứng phó khi xảy ra cháy, nổ hoặc sự cố có liên quan;</w:t>
      </w:r>
    </w:p>
    <w:p w14:paraId="634E7BF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Không tự ý sửa chữa, cải tạo, thay đổi kết cấu, hiện trạng tài sản; không tự ý đấu nối, di chuyển, tháo dỡ, điều chỉnh hoặc can thiệp vào hệ thống, phương tiện, thiết bị phòng cháy, chữa cháy được đầu tư, lắp đặt tại tài sản. Trường hợp cần thiết phải thực hiện các nội dung nêu trên, Tổ chức, cá nhân thực hiện quyền khai thác phải báo cáo và chỉ được thực hiện sau khi có ý kiến chấp thuận bằng văn bản của Bệnh viện và bảo đảm phù hợp với quy định của pháp luật;</w:t>
      </w:r>
    </w:p>
    <w:p w14:paraId="54F5EA93"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Không được bố trí, lưu giữ, sử dụng chất dễ cháy, chất nổ, nguồn lửa, nguồn nhiệt hoặc thực hiện các hoạt động có nguy cơ gây cháy, nổ trong phạm vi khai thác trái với quy định của pháp luật hoặc khi chưa đáp ứng đầy đủ các điều kiện an toàn theo quy định;</w:t>
      </w:r>
    </w:p>
    <w:p w14:paraId="7934E64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lastRenderedPageBreak/>
        <w:t>- Tổ chức, cá nhân thực hiện quyền khai thác có trách nhiệm phối hợp với Bệnh viện, cơ quan quản lý nhà nước và cơ quan có thẩm quyền trong việc kiểm tra, giám sát, thanh tra về công tác phòng cháy, chữa cháy và cứu nạn, cứu hộ; thực hiện đầy đủ, kịp thời các yêu cầu, kiến nghị của cơ quan có thẩm quyền và Bệnh viện về việc khắc phục các tồn tại, thiếu sót, nguy cơ mất an toàn trong phạm vi quản lý, khai thác;</w:t>
      </w:r>
    </w:p>
    <w:p w14:paraId="7D746DE4"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chịu trách nhiệm trước pháp luật và trước Bệnh viện về việc bảo đảm an toàn phòng cháy, chữa cháy và cứu nạn, cứu hộ đối với hoạt động thuộc phạm vi quản lý, khai thác của mình. Trường hợp xảy ra cháy, nổ, sự cố hoặc hành vi vi phạm quy định về phòng cháy, chữa cháy và cứu nạn, cứu hộ do lỗi hoặc thuộc trách nhiệm của Tổ chức, cá nhân thực hiện quyền khai thác thì Tổ chức, cá nhân thực hiện quyền khai thác có trách nhiệm chịu các khoản tiền phạt, chi phí khắc phục hậu quả, chi phí xử lý sự cố và bồi thường thiệt hại (nếu có) theo quy định của pháp luật; đồng thời chịu các trách nhiệm pháp lý khác có liên quan;</w:t>
      </w:r>
    </w:p>
    <w:p w14:paraId="76A8B425"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4. Yêu cầu về vệ sinh môi trường</w:t>
      </w:r>
    </w:p>
    <w:p w14:paraId="4113D41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có trách nhiệm tuân thủ đầy đủ các quy định của pháp luật về bảo vệ môi trường, kiểm soát nhiễm khuẩn và các quy định của Bệnh viện trong suốt thời gian khai thác; chịu trách nhiệm về công tác vệ sinh môi trường trong phạm vi được giao.</w:t>
      </w:r>
    </w:p>
    <w:p w14:paraId="30BB8E4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Trang bị đầy đủ dụng cụ, thùng chứa rác có nắp đậy kín, túi chứa phù hợp và các thiết bị bảo vệ môi trường cần thiết; thực hiện phân loại, thu gom, lưu giữ, vận chuyển và xử lý chất thải phát sinh đúng quy định, tự chịu các chi phí liên quan. Rác sinh hoạt, rác hữu cơ và thức ăn thừa phải được thu gom, đưa ra khỏi khu vực bếp trong ngày, không để tồn đọng qua đêm. Riêng đối với chất thải rắn sinh hoạt đơn vị có trách nhiệm thu gom, vận chuyển về nơi tập kết của Bệnh viện, hàng tháng tổ chức, cá nhân thực hiện quyền khai thác có trách nhiệm thanh toán chi phí xử lý chất thải rắn sinh hoạt cho Bệnh viện.</w:t>
      </w:r>
    </w:p>
    <w:p w14:paraId="264E2E8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Phải lắp đặt, vận hành thường xuyên hệ thống bẫy tách mỡ; định kỳ vệ sinh, nạo vét tối thiểu 01 lần/tháng, không để dầu mỡ, thức ăn thừa và các chất gây ô nhiễm xả trực tiếp vào hệ thống thoát nước của Bệnh viện. Việc thu gom, xử lý mỡ thải phải được thực hiện đúng quy định và lưu giữ hồ sơ, chứng từ liên quan để phục vụ kiểm tra khi cần thiết.</w:t>
      </w:r>
    </w:p>
    <w:p w14:paraId="205BF11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Chỉ được sử dụng gas và điện làm nhiên liệu phục vụ hoạt động khai thác; không sử dụng bếp củi, bếp than hoặc các loại nhiên liệu khác khi chưa được Bệnh viện chấp thuận.</w:t>
      </w:r>
    </w:p>
    <w:p w14:paraId="023D0FD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Trường hợp có sử dụng hóa chất hoặc phát sinh các yêu cầu về bảo vệ môi trường, Tổ chức, cá nhân thực hiện quyền khai thác phải thực hiện đầy đủ các thủ tục, biện pháp bảo đảm an toàn, vệ sinh môi trường và chịu toàn bộ chi phí liên quan; hóa chất khử khuẩn phải được sử dụng đúng hướng dẫn và quy định về kiểm soát nhiễm khuẩn, phòng chống dịch bệnh.</w:t>
      </w:r>
    </w:p>
    <w:p w14:paraId="7B94A68E"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Thực hiện các biện pháp bảo đảm vệ sinh, không để phát sinh mùi hôi, khói, </w:t>
      </w:r>
      <w:r w:rsidRPr="003E2267">
        <w:rPr>
          <w:rFonts w:eastAsia="Calibri"/>
          <w:sz w:val="28"/>
          <w:szCs w:val="28"/>
        </w:rPr>
        <w:lastRenderedPageBreak/>
        <w:t>bụi, tiếng ồn, côn trùng hoặc các yếu tố khác ảnh hưởng đến người bệnh, người nhà người bệnh, nhân viên y tế và hoạt động của Bệnh viện.</w:t>
      </w:r>
    </w:p>
    <w:p w14:paraId="10C6896E"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Phối hợp với Bệnh viện và cơ quan có thẩm quyền trong công tác kiểm tra, giám sát; kịp thời khắc phục các tồn tại, thiếu sót theo yêu cầu.</w:t>
      </w:r>
    </w:p>
    <w:p w14:paraId="2B93047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Trường hợp vi phạm quy định về bảo vệ môi trường, kiểm soát nhiễm khuẩn hoặc gây ô nhiễm do lỗi của mình, Tổ chức, cá nhân thực hiện quyền khai thác chịu toàn bộ trách nhiệm trước pháp luật; đồng thời chịu mọi chi phí khắc phục, bồi thường thiệt hại và tiền xử phạt vi phạm hành chính (nếu có) theo quy định.</w:t>
      </w:r>
    </w:p>
    <w:p w14:paraId="421F62AF"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5. Yêu cầu về phạm vi cung cấp dịch vụ:</w:t>
      </w:r>
    </w:p>
    <w:p w14:paraId="4919AD6A"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5.1. Phạm vi dịch vụ được phép cung cấp</w:t>
      </w:r>
    </w:p>
    <w:p w14:paraId="791E8D2D"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Những món ăn, suất ăn tự chế biến dưới sự giám sát của khoa Dinh dưỡng như: Cơm, Cháo, Phở, Mỳ ăn liền… </w:t>
      </w:r>
    </w:p>
    <w:p w14:paraId="241AF71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Những món ăn, suất ăn chế biến theo thực đơn các mã chế độ ăn của khoa Dinh dưỡng xây dựng.</w:t>
      </w:r>
    </w:p>
    <w:p w14:paraId="39866EB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Thực đơn đặc biệt chế biến theo yêu cầu của khoa Dinh dưỡng xây dựng cho cá thể người bệnh trong trường hợp bệnh nhân hội chẩn dinh dưỡng.</w:t>
      </w:r>
    </w:p>
    <w:p w14:paraId="7553681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Sinh tố, nước ép trái cây phải được chế biến từ nguyên liệu có nguồn gốc, xuất xứ rõ ràng, sử dụng trong ngày, không sử dụng trái cây hư hỏng hoặc nguyên liệu quá hạn.</w:t>
      </w:r>
    </w:p>
    <w:p w14:paraId="1BCDC20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Suất ăn ngoài giờ, suất ăn trong thiên tai, suất ăn trong dịch bệnh, suất ăn khi bệnh viện huy động khẩn cấp… Tổ chức, cá nhân thực hiện quyền khai thác phải đảm bảo khả năng cung cấp liên tục 24/24 giờ khi Bệnh viện yêu cầu.</w:t>
      </w:r>
    </w:p>
    <w:p w14:paraId="3F9967E0" w14:textId="77777777" w:rsidR="00086959" w:rsidRPr="003E2267" w:rsidRDefault="00086959" w:rsidP="00086959">
      <w:pPr>
        <w:widowControl w:val="0"/>
        <w:tabs>
          <w:tab w:val="left" w:pos="1276"/>
        </w:tabs>
        <w:spacing w:line="340" w:lineRule="exact"/>
        <w:ind w:firstLine="567"/>
        <w:rPr>
          <w:rFonts w:eastAsia="Calibri"/>
          <w:b/>
          <w:sz w:val="28"/>
          <w:szCs w:val="28"/>
          <w:lang w:val="nl-NL"/>
        </w:rPr>
      </w:pPr>
      <w:r w:rsidRPr="003E2267">
        <w:rPr>
          <w:rFonts w:eastAsia="Calibri"/>
          <w:b/>
          <w:sz w:val="28"/>
          <w:szCs w:val="28"/>
        </w:rPr>
        <w:t xml:space="preserve">5.2. </w:t>
      </w:r>
      <w:r w:rsidRPr="003E2267">
        <w:rPr>
          <w:rFonts w:eastAsia="Calibri"/>
          <w:b/>
          <w:sz w:val="28"/>
          <w:szCs w:val="28"/>
          <w:lang w:val="nl-NL"/>
        </w:rPr>
        <w:t>Phạm vi phục vụ</w:t>
      </w:r>
    </w:p>
    <w:p w14:paraId="7B32D456"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Phục vụ tại chỗ: Toàn bộ diện tích mặt bằng Nhà ăn/Căng tin được Bệnh viện bàn giao theo Biên bản. </w:t>
      </w:r>
    </w:p>
    <w:p w14:paraId="6808F0E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Phục vụ tận nơi (Giao phát suất ăn tại khoa/phòng): </w:t>
      </w:r>
    </w:p>
    <w:p w14:paraId="3A0E01DE"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Vận chuyển và phối hợp với điều dưỡng các khoa lâm sàng phát suất ăn tận giường bệnh tại 100% các khoa lâm sàng.</w:t>
      </w:r>
    </w:p>
    <w:p w14:paraId="466A6D7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Cung cấp suất ăn tận nơi cho Cán bộ y tế tại các Khoa/Phòng/Trung tâm thuộc Bệnh viện theo danh sách đăng ký.</w:t>
      </w:r>
    </w:p>
    <w:p w14:paraId="7BF6B443"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5.3. Yêu cầu về vận chuyển</w:t>
      </w:r>
    </w:p>
    <w:p w14:paraId="426E717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Quá trình vận chuyển suất ăn từ bếp đến các Khoa/Phòng phải sử dụng xe đẩy chuyên dụng, có nắp đậy đậy kín, bảo đảm giữ nhiệt (thức ăn luôn nóng ấm) và đáp ứng tuyệt đối tiêu chuẩn vệ sinh an toàn thực phẩm, không làm rò rỉ, vương vãi ra môi trường bệnh viện.</w:t>
      </w:r>
    </w:p>
    <w:p w14:paraId="2203B747"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5.4. Đối tượng phục vụ</w:t>
      </w:r>
    </w:p>
    <w:p w14:paraId="039AD87E"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Người bệnh, người nhà người bệnh, nhân viên y tế, người lao động tại bệnh viện, sinh viên thực tập tại bệnh viện...</w:t>
      </w:r>
    </w:p>
    <w:p w14:paraId="66700801"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5.5. Thời gian cung cấp dịch vụ</w:t>
      </w:r>
    </w:p>
    <w:p w14:paraId="72EFEAF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Từ</w:t>
      </w:r>
      <w:r>
        <w:rPr>
          <w:rFonts w:eastAsia="Calibri"/>
          <w:sz w:val="28"/>
          <w:szCs w:val="28"/>
        </w:rPr>
        <w:t xml:space="preserve"> 5 giờ </w:t>
      </w:r>
      <w:r w:rsidRPr="003E2267">
        <w:rPr>
          <w:rFonts w:eastAsia="Calibri"/>
          <w:sz w:val="28"/>
          <w:szCs w:val="28"/>
        </w:rPr>
        <w:t>00</w:t>
      </w:r>
      <w:r>
        <w:rPr>
          <w:rFonts w:eastAsia="Calibri"/>
          <w:sz w:val="28"/>
          <w:szCs w:val="28"/>
        </w:rPr>
        <w:t xml:space="preserve"> phút</w:t>
      </w:r>
      <w:r w:rsidRPr="003E2267">
        <w:rPr>
          <w:rFonts w:eastAsia="Calibri"/>
          <w:sz w:val="28"/>
          <w:szCs w:val="28"/>
        </w:rPr>
        <w:t xml:space="preserve"> đến 22</w:t>
      </w:r>
      <w:r>
        <w:rPr>
          <w:rFonts w:eastAsia="Calibri"/>
          <w:sz w:val="28"/>
          <w:szCs w:val="28"/>
        </w:rPr>
        <w:t xml:space="preserve"> giờ </w:t>
      </w:r>
      <w:r w:rsidRPr="003E2267">
        <w:rPr>
          <w:rFonts w:eastAsia="Calibri"/>
          <w:sz w:val="28"/>
          <w:szCs w:val="28"/>
        </w:rPr>
        <w:t xml:space="preserve">00 </w:t>
      </w:r>
      <w:r>
        <w:rPr>
          <w:rFonts w:eastAsia="Calibri"/>
          <w:sz w:val="28"/>
          <w:szCs w:val="28"/>
        </w:rPr>
        <w:t xml:space="preserve">phút </w:t>
      </w:r>
      <w:r w:rsidRPr="003E2267">
        <w:rPr>
          <w:rFonts w:eastAsia="Calibri"/>
          <w:sz w:val="28"/>
          <w:szCs w:val="28"/>
        </w:rPr>
        <w:t xml:space="preserve">trong ngày và bất cứ khi nào bệnh viện và khoa Dinh dưỡng yêu cầu (bao gồm tất cả các ngày nghỉ thứ Bảy, Chủ nhật, ngày Lễ, Tết và trong các tình huống thiên tai, dịch bệnh khẩn cấp). Nghiêm cấm </w:t>
      </w:r>
      <w:r w:rsidRPr="003E2267">
        <w:rPr>
          <w:rFonts w:eastAsia="Calibri"/>
          <w:sz w:val="28"/>
          <w:szCs w:val="28"/>
        </w:rPr>
        <w:lastRenderedPageBreak/>
        <w:t>tự ý ngưng cung cấp dịch vụ khi chưa có sự chấp thuận của Bệnh viện.</w:t>
      </w:r>
    </w:p>
    <w:p w14:paraId="79163FC6"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Thời gian bàn giao suất ăn cho bệnh nhân: </w:t>
      </w:r>
    </w:p>
    <w:p w14:paraId="65998FB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Bữa sáng: 6</w:t>
      </w:r>
      <w:r>
        <w:rPr>
          <w:rFonts w:eastAsia="Calibri"/>
          <w:sz w:val="28"/>
          <w:szCs w:val="28"/>
        </w:rPr>
        <w:t xml:space="preserve"> giờ </w:t>
      </w:r>
    </w:p>
    <w:p w14:paraId="4F2BDC10"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Bữa trưa: 10</w:t>
      </w:r>
      <w:r>
        <w:rPr>
          <w:rFonts w:eastAsia="Calibri"/>
          <w:sz w:val="28"/>
          <w:szCs w:val="28"/>
        </w:rPr>
        <w:t xml:space="preserve"> giờ </w:t>
      </w:r>
      <w:r w:rsidRPr="003E2267">
        <w:rPr>
          <w:rFonts w:eastAsia="Calibri"/>
          <w:sz w:val="28"/>
          <w:szCs w:val="28"/>
        </w:rPr>
        <w:t xml:space="preserve">30 </w:t>
      </w:r>
      <w:r>
        <w:rPr>
          <w:rFonts w:eastAsia="Calibri"/>
          <w:sz w:val="28"/>
          <w:szCs w:val="28"/>
        </w:rPr>
        <w:t>phút</w:t>
      </w:r>
    </w:p>
    <w:p w14:paraId="60A63790"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Bữa tố</w:t>
      </w:r>
      <w:r>
        <w:rPr>
          <w:rFonts w:eastAsia="Calibri"/>
          <w:sz w:val="28"/>
          <w:szCs w:val="28"/>
        </w:rPr>
        <w:t>i: 16 giờ 45 phút</w:t>
      </w:r>
    </w:p>
    <w:p w14:paraId="63AE82C6"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Và theo giờ chỉ định của khoa Dinh dưỡng.</w:t>
      </w:r>
    </w:p>
    <w:p w14:paraId="38DBE29C"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5.6. Giá dịch vụ</w:t>
      </w:r>
    </w:p>
    <w:p w14:paraId="66915E1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Giá dịch vụ cung cấp suất ăn cho người bệnh ăn theo mã chế độ bệnh lý có sự thống nhất và giám sát giá của khoa Dinh dưỡng Bệnh viện, phù hợp với mặt bằng thực phẩm trên thị trường.</w:t>
      </w:r>
    </w:p>
    <w:p w14:paraId="71D3E6B5"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Giá dịch vụ cung cấp suất ăn bình thường (không theo chế độ bệnh lý) theo thỏa thuận giữa Tổ chức, cá nhân thực hiện quyền khai thác  và người mua và giám sát giá của khoa Dinh dưỡng Bệnh viện, đảm bảo chất và lượng các suất ăn tương xứng hợp lý với đơn giá.</w:t>
      </w:r>
    </w:p>
    <w:p w14:paraId="694690B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Giá được niêm yết công khai.</w:t>
      </w:r>
    </w:p>
    <w:p w14:paraId="532B5430"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Trường hợp có biến động lớn về giá thị trường, Tổ chức, cá nhân thực hiện quyền khai thác  chỉ được điều chỉnh giá khi có đề xuất bằng văn bản, phối hợp với khoa Dinh dưỡng Bệnh viện xây dựng cơ cấu giá và phải được sự chấp thuận bằng văn bản của khoa Dinh dưỡng Bệnh viện trước khi áp dụng.</w:t>
      </w:r>
    </w:p>
    <w:p w14:paraId="404991C0"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6. Yêu cầu về an toàn thực phẩm</w:t>
      </w:r>
    </w:p>
    <w:p w14:paraId="6169443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Tổ chức, cá nhân thực hiện quyền khai thác </w:t>
      </w:r>
      <w:r>
        <w:rPr>
          <w:rFonts w:eastAsia="Calibri"/>
          <w:sz w:val="28"/>
          <w:szCs w:val="28"/>
        </w:rPr>
        <w:t xml:space="preserve">phải </w:t>
      </w:r>
      <w:r w:rsidRPr="003E2267">
        <w:rPr>
          <w:rFonts w:eastAsia="Calibri"/>
          <w:sz w:val="28"/>
          <w:szCs w:val="28"/>
        </w:rPr>
        <w:t>xây dựng và thực hiện quy trình chế biến, bảo quản, vận chuyển, phân phối suất ăn bảo đảm an toàn thực phẩm; có khả năng đáp ứng các yêu cầu đặc thù của cơ sở khám bệnh, chữa bệnh như cung cấp suất ăn bệnh lý theo chỉ định, phục vụ đúng thời gian, đúng đối tượng và bảo đảm kiểm soát nhiễm khuẩn trong quá trình cung cấp dịch vụ.</w:t>
      </w:r>
    </w:p>
    <w:p w14:paraId="1E6A1D04"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Hệ thống trang thiết bị chế biến: Có đủ trang thiết bị phù hợp để xử lý nguyên liệu, chế biến, đóng gói, bảo quản và vận chuyển thực phẩm đảm bảo vệ sinh an toàn thực phẩm. Bắt buộc có đủ thiết bị, dụng cụ, phương tiện rửa và khử trùng, nước sát trùng, thiết bị phòng chống côn trùng và động vật nguy hại. Có hệ thống tủ đông/tủ mát bảo quản thực phẩm đạt quy chuẩn.</w:t>
      </w:r>
    </w:p>
    <w:p w14:paraId="67E7D6AD"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Chịu sự kiểm tra, giám sát trực tiếp của khoa Dinh dưỡng, tuân thủ quy trình, quy định của khoa Dinh dưỡng, bệnh viện và các cơ quan chức năng theo quy định của pháp luật. Tham gia giao ban hàng tuần với khoa Dinh dưỡng, tham gia họp hội đồng người bệnh cấp bệnh viện. </w:t>
      </w:r>
    </w:p>
    <w:p w14:paraId="44239BD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Trong suốt thời gian thực hiện hợp đồng, Tổ chức, cá nhân thực hiện quyền khai thác phải duy trì đầy đủ hiệu lực của:</w:t>
      </w:r>
    </w:p>
    <w:p w14:paraId="251E5DA6"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Giấy chứng nhận đăng ký doanh nghiệp (nếu là tổ chức);</w:t>
      </w:r>
    </w:p>
    <w:p w14:paraId="18FB7B4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Giấy chứng nhận cơ sở đủ điều kiện An toàn thực phẩm;</w:t>
      </w:r>
    </w:p>
    <w:p w14:paraId="02B521B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Hồ sơ nhà cung cấp; </w:t>
      </w:r>
    </w:p>
    <w:p w14:paraId="79DA676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Hồ sơ kiểm thực; </w:t>
      </w:r>
    </w:p>
    <w:p w14:paraId="4ABDCE0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Hồ sơ lưu mẫu;</w:t>
      </w:r>
    </w:p>
    <w:p w14:paraId="6E96042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Hồ sơ tập huấn: 100% người trực tiếp sản xuất, kinh doanh thực phẩm phải </w:t>
      </w:r>
      <w:r w:rsidRPr="003E2267">
        <w:rPr>
          <w:rFonts w:eastAsia="Calibri"/>
          <w:sz w:val="28"/>
          <w:szCs w:val="28"/>
        </w:rPr>
        <w:lastRenderedPageBreak/>
        <w:t>được tập huấn kiến thức an toàn thực phẩm, được người sử dụng lao động (chủ cơ sở) xác nhận theo quy định của Nghị định số 155/2018/NĐ-CP và chịu trách nhiệm trước pháp luật về kết quả tập huấn;</w:t>
      </w:r>
    </w:p>
    <w:p w14:paraId="0C2A916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Hồ sơ khám sức khỏe: 100% người trực tiếp sản xuất, kinh doanh thực phẩm phải có giấy khám sức khỏe;</w:t>
      </w:r>
    </w:p>
    <w:p w14:paraId="58181313"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Hồ sơ xét nghiệm khi có yêu cầu;</w:t>
      </w:r>
    </w:p>
    <w:p w14:paraId="2EA09BC4"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Nhật ký nhiệt độ bảo quản thực phẩm;</w:t>
      </w:r>
    </w:p>
    <w:p w14:paraId="62847C34"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Các hồ sơ khác theo quy định. </w:t>
      </w:r>
    </w:p>
    <w:p w14:paraId="0F9DB41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phải tuân thủ các điều kiện bảo đảm an toàn đối với thực phẩm trong quá trình sản xuất, kinh doanh và chịu trách nhiệm về an toàn thực phẩm do mình sản xuất, kinh doanh.</w:t>
      </w:r>
    </w:p>
    <w:p w14:paraId="301321C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phải thiết lập và vận hành toàn bộ quy trình chế biến tuân thủ nghiêm ngặt nguyên tắc bếp ăn một chiều theo quy định của pháp luật. Phân chia biệt lập các phân khu: tiếp nhận nguyên liệu</w:t>
      </w:r>
      <w:r>
        <w:rPr>
          <w:rFonts w:eastAsia="Calibri"/>
          <w:sz w:val="28"/>
          <w:szCs w:val="28"/>
        </w:rPr>
        <w:t xml:space="preserve"> →</w:t>
      </w:r>
      <w:r w:rsidRPr="003E2267">
        <w:rPr>
          <w:rFonts w:eastAsia="Calibri"/>
          <w:sz w:val="28"/>
          <w:szCs w:val="28"/>
        </w:rPr>
        <w:t xml:space="preserve"> sơ chế thực phẩm số</w:t>
      </w:r>
      <w:r>
        <w:rPr>
          <w:rFonts w:eastAsia="Calibri"/>
          <w:sz w:val="28"/>
          <w:szCs w:val="28"/>
        </w:rPr>
        <w:t xml:space="preserve">ng → </w:t>
      </w:r>
      <w:r w:rsidRPr="003E2267">
        <w:rPr>
          <w:rFonts w:eastAsia="Calibri"/>
          <w:sz w:val="28"/>
          <w:szCs w:val="28"/>
        </w:rPr>
        <w:t xml:space="preserve">chế biến </w:t>
      </w:r>
      <w:r>
        <w:rPr>
          <w:rFonts w:eastAsia="Calibri"/>
          <w:sz w:val="28"/>
          <w:szCs w:val="28"/>
        </w:rPr>
        <w:t xml:space="preserve">→ </w:t>
      </w:r>
      <w:r w:rsidRPr="003E2267">
        <w:rPr>
          <w:rFonts w:eastAsia="Calibri"/>
          <w:sz w:val="28"/>
          <w:szCs w:val="28"/>
        </w:rPr>
        <w:t xml:space="preserve">chia suất/đóng gói </w:t>
      </w:r>
      <w:r>
        <w:rPr>
          <w:rFonts w:eastAsia="Calibri"/>
          <w:sz w:val="28"/>
          <w:szCs w:val="28"/>
        </w:rPr>
        <w:t xml:space="preserve">→ </w:t>
      </w:r>
      <w:r w:rsidRPr="003E2267">
        <w:rPr>
          <w:rFonts w:eastAsia="Calibri"/>
          <w:sz w:val="28"/>
          <w:szCs w:val="28"/>
        </w:rPr>
        <w:t>vận chuyển</w:t>
      </w:r>
      <w:r>
        <w:rPr>
          <w:rFonts w:eastAsia="Calibri"/>
          <w:sz w:val="28"/>
          <w:szCs w:val="28"/>
        </w:rPr>
        <w:t xml:space="preserve"> →</w:t>
      </w:r>
      <w:r w:rsidRPr="003E2267">
        <w:rPr>
          <w:rFonts w:eastAsia="Calibri"/>
          <w:sz w:val="28"/>
          <w:szCs w:val="28"/>
        </w:rPr>
        <w:t xml:space="preserve"> rửa và bảo quản dụng cụ. </w:t>
      </w:r>
    </w:p>
    <w:p w14:paraId="6903FBC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Tổ chức, cá nhân thực hiện quyền khai thác phải chịu trách nhiệm hoàn toàn về chất lượng an toàn vệ sinh thực phẩm, sử dụng các thành phần nguyên liệu tươi, sạch, có nguồn gốc xuất xứ, còn hạn sử dụng, trong danh mục được phép sử dụng theo quy định, bảo đảm an toàn để sản xuất, chế biến thực phẩm và xuất trình đầy đủ các giấy tờ liên quan đến sản phẩm khi cần, thông báo ngay khi phát hiện nguy cơ mất an toàn thực phẩm, thu hồi thực phẩm không an toàn, truy xuất nguồn gốc khi Bệnh viện yêu cầu, phối hợp điều tra ngộ độc và chịu trách nhiệm pháp lý theo quy định pháp luật hiện hành. </w:t>
      </w:r>
    </w:p>
    <w:p w14:paraId="58DEE060"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chịu trách nhiệm cung cấp trang thiết bị, vật tư, hóa chất... (xét nghiệm nhanh An toàn thực phẩm: test kiểm tra nhanh foocmon có trong các thực phẩm; test kiểm tra nhanh dư lượng thuốc trừ sâu trong các loại rau, củ, quả; test kiểm tra nhanh Nitrite trong nước ăn, đồ uống không màu, nước giải khát không màu; test kiểm tra nhanh hàn the; test kiểm tra nhanh mức độ oxy hóa của dầu mỡ trong thực phẩm) số lượng và tần suất như sau để thực hiện công tác kiểm tra an toàn thực phẩm:</w:t>
      </w:r>
    </w:p>
    <w:p w14:paraId="7952AFF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Kiểm tra nhanh foocmon với tần suất tối thiểu 1 lần/ tháng. </w:t>
      </w:r>
    </w:p>
    <w:p w14:paraId="7435A8E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Kiểm tra nhanh dư lượng thuốc trừ sâu nhóm lân hữu cơ và carbamate trong rau/củ/quả sử dụng hàng ngày tối thiểu làm 3 lần/tuần.</w:t>
      </w:r>
    </w:p>
    <w:p w14:paraId="499E018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Kiểm tra  nhanh Nitrite trong nước ăn, đồ uống không màu, nước giải khát không màu với tần suất tối thiểu 1 lần/ tháng. </w:t>
      </w:r>
    </w:p>
    <w:p w14:paraId="4DADA73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Kiểm tra nhanh hàn the với tần suất tối thiểu 2 lần/ tháng </w:t>
      </w:r>
    </w:p>
    <w:p w14:paraId="19F560B2"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Kiểm tra nhanh mức độ bị oxy hóa của dầu ăn, mỡ động vật với tần suất tối thiểu 2 tháng/ lần </w:t>
      </w:r>
    </w:p>
    <w:p w14:paraId="758B537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Đối với thực phẩm sau khi kiểm tra mẫu không đạt yêu cầu (kết quả kiểm tra nhanh dương tính) Tổ chức, cá nhân thực hiện quyền khai thác không được sử dụng và thực hiện xử lý hủy thực phẩm. </w:t>
      </w:r>
    </w:p>
    <w:p w14:paraId="7D0E1561"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lastRenderedPageBreak/>
        <w:t>- Tổ chức, cá nhân thực hiện quyền khai thác thực hiện kiểm thực ba bước và lưu mẫu thức ăn theo đúng quy định trong Quyết định số 1246/QĐ-BYT ngày 31/3/2017 của Bộ trưởng Bộ Y tế (trường hợp trong quá trình thực hiện Văn bản bị thay thế hoặc sửa đổi bổ sung thì thực hiện theo Văn bản thay thế, sửa đổi, bổ sung đó); duy trì các điều kiện bảo đảm an toàn thực phẩm và lưu giữ hồ sơ về nguồn gốc, xuất xứ nguyên liệu thực phẩm và các tài liệu khác về toàn bộ quá trình sản xuất, kinh doanh thực phẩm.</w:t>
      </w:r>
    </w:p>
    <w:p w14:paraId="205734E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Tối thiểu 01 lần/1 năm, Tổ chức, cá nhân thực hiện quyền khai thác có nghĩa vụ phối hợp với Khoa Dinh dưỡng lấy mẫu súp xay qua sonde thành phẩm gửi đến Cơ sở kiểm nghiệm được Bộ Y tế công nhận để kiểm nghiệm các chỉ tiêu hóa lý/vi sinh theo đề nghị của Khoa Dinh dưỡng.</w:t>
      </w:r>
    </w:p>
    <w:p w14:paraId="4C9670B1"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Toàn bộ chi phí lấy mẫu, gửi mẫu và chi phí kiểm nghiệm nêu trên do Tổ chức, cá nhân thực hiện quyền khai thác  tự chi trả 100% và được tính vào chi phí vận hành dịch vụ của Tổ chức, cá nhân thực hiện quyền khai thác. Kết quả kiểm nghiệm phải nộp về Khoa Dinh dưỡng Bệnh viện lưu hồ sơ.</w:t>
      </w:r>
    </w:p>
    <w:p w14:paraId="426E152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Ngay khi phát hiện hoặc nhận được thông tin nghi ngờ xảy ra ngộ độc thực phẩm liên quan đến suất ăn do đơn vị trúng thầu cung cấp, đơn vị phải ngừng ngay việc chế biến, phân phối và sử dụng các thực phẩm, suất ăn nghi ngờ; đồng thời bảo quản nguyên trạng thực phẩm, mẫu lưu, nguyên liệu, hồ sơ liên quan để phục vụ điều tra.</w:t>
      </w:r>
    </w:p>
    <w:p w14:paraId="142E9E1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phải thông báo ngay cho Khoa Dinh dưỡng kể từ khi phát hiện vụ việc hoặc nhận được thông tin nghi ngờ.</w:t>
      </w:r>
    </w:p>
    <w:p w14:paraId="5B7383D0"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có trách nhiệm phối hợp với bệnh viện và cơ quan có thẩm quyền trong việc:</w:t>
      </w:r>
    </w:p>
    <w:p w14:paraId="7994A9E3"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Cung cấp đầy đủ hồ sơ truy xuất nguồn gốc thực phẩm; </w:t>
      </w:r>
    </w:p>
    <w:p w14:paraId="574655C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Cung cấp hồ sơ nhập hàng, hóa đơn, chứng từ, sổ kiểm thực, mẫu lưu thức ăn, hồ sơ vệ sinh, hồ sơ nhân sự và các tài liệu liên quan; </w:t>
      </w:r>
    </w:p>
    <w:p w14:paraId="4056D93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Hỗ trợ lấy mẫu thực phẩm, nguyên liệu, môi trường chế biến và mẫu bệnh phẩm khi được yêu cầu; </w:t>
      </w:r>
    </w:p>
    <w:p w14:paraId="5ED7E5D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Không được tiêu hủy, di chuyển hoặc làm thay đổi hiện trạng thực phẩm, mẫu lưu và tài liệu liên quan nếu chưa có ý kiến của bệnh viện hoặc cơ quan có thẩm quyền (trừ trường hợp cần thiết để bảo đảm an toàn).</w:t>
      </w:r>
    </w:p>
    <w:p w14:paraId="1B99B1FE"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Bệnh viện có quyền yêu cầu tạm ngừng sử dụng một phần hoặc toàn bộ nguyên liệu, dây chuyền chế biến hoặc tạm đình chỉ việc cung cấp suất ăn của Tổ chức, cá nhân thực hiện quyền khai thác khi:</w:t>
      </w:r>
    </w:p>
    <w:p w14:paraId="724E0FEC"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Có căn cứ cho rằng thực phẩm không bảo đảm an toàn;</w:t>
      </w:r>
    </w:p>
    <w:p w14:paraId="37C5C8D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Xảy ra vụ ngộ độc thực phẩm hoặc nghi ngờ ngộ độc thực phẩm đang được điều tra;</w:t>
      </w:r>
    </w:p>
    <w:p w14:paraId="39B6E6E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không thực hiện đầy đủ các biện pháp khắc phục theo yêu cầu của khoa Dinh dưỡng bệnh viện hoặc cơ quan có thẩm quyền.</w:t>
      </w:r>
    </w:p>
    <w:p w14:paraId="38C4FCFE"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Trong thời gian tạm đình chỉ, Tổ chức, cá nhân thực hiện quyền khai thác </w:t>
      </w:r>
      <w:r w:rsidRPr="003E2267">
        <w:rPr>
          <w:rFonts w:eastAsia="Calibri"/>
          <w:sz w:val="28"/>
          <w:szCs w:val="28"/>
        </w:rPr>
        <w:lastRenderedPageBreak/>
        <w:t>phải có phương án cung cấp suất ăn thay thế được bệnh viện chấp thuận hoặc chịu các biện pháp xử lý theo hợp đồng nếu không bảo đảm việc cung cấp suất ăn liên tục.</w:t>
      </w:r>
    </w:p>
    <w:p w14:paraId="782A6447"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Tổ chức, cá nhân thực hiện quyền khai thác chịu toàn bộ chi phí phát sinh do lỗi của mình, bao gồm chi phí kiểm nghiệm, thu hồi, tiêu hủy thực phẩm, vệ sinh khử khuẩn, xử lý sự cố và các khoản bồi thường theo quy định của pháp luật.</w:t>
      </w:r>
    </w:p>
    <w:p w14:paraId="0D55E6FD"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7. Yêu cầu về chuyên môn dinh dưỡng và cung cấp dịch vụ</w:t>
      </w:r>
    </w:p>
    <w:p w14:paraId="338B40A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Có đầy đủ thiết bị và nhân lực bảo đảm phục vụ từ 3.000 suất ăn/ngày trở lên;</w:t>
      </w:r>
    </w:p>
    <w:p w14:paraId="003CA1E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Thực hiện đúng các quy định về dinh dưỡng tiết chế trong bệnh việ</w:t>
      </w:r>
      <w:r>
        <w:rPr>
          <w:rFonts w:eastAsia="Calibri"/>
          <w:sz w:val="28"/>
          <w:szCs w:val="28"/>
        </w:rPr>
        <w:t>n theo Thông tư 18/2020/TT-BYT của Bộ Y tế.</w:t>
      </w:r>
    </w:p>
    <w:p w14:paraId="311C2D8E"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Bố trí nhân lực trực tiếp nấu ăn, cung cấp dịch vụ ăn uống tại Bệnh viện, tự thu tiền từ việc cung cấp dịch vụ hoặc phối hợp với Bệnh viện trong thu tiền ăn từ bệnh nhân ăn theo chế độ ăn bệnh lý. Chất và lượng các suất ăn tương xứng hợp lý với đơn giá, công khai đơn giá, không được tự ý đổi món, thay đổi định lượng nếu chưa được khoa Dinh dưỡng chấp thuận.</w:t>
      </w:r>
    </w:p>
    <w:p w14:paraId="210C6620"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Đảm bảo cung cấp đầy đủ các suất ăn cho người bệnh, người nhà người bệnh, cán bộ viên chức người lao động bệnh viện… với nguồn thực phẩm an toàn vệ sinh thực phẩm kể cả khi thiên tai, dịch bệnh…</w:t>
      </w:r>
    </w:p>
    <w:p w14:paraId="73B68AB3"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Không được kinh doanh rượu, bia, thuốc lá, thuốc lá điện tử, thuốc lào, chất kích thích, hàng giả, hàng nhập lậu, hàng không rõ nguồn gốc, thực phẩm chức năng hoặc sản phẩm khác khi chưa được Bệnh viện chấp thuận bằng văn bản.</w:t>
      </w:r>
    </w:p>
    <w:p w14:paraId="3CF3F442"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8. Yêu cầu về nhân sự</w:t>
      </w:r>
    </w:p>
    <w:p w14:paraId="75EE4BE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Toàn bộ người trực tiếp sản xuất, kinh doanh thực phẩm phải có Giấy khám sức khỏe định kỳ theo mẫu và quy trình quy định tại Thông tư số 32/2023/TT-BYT</w:t>
      </w:r>
      <w:r>
        <w:rPr>
          <w:rFonts w:eastAsia="Calibri"/>
          <w:sz w:val="28"/>
          <w:szCs w:val="28"/>
        </w:rPr>
        <w:t xml:space="preserve"> của Bộ Y tế</w:t>
      </w:r>
      <w:r w:rsidRPr="003E2267">
        <w:rPr>
          <w:rFonts w:eastAsia="Calibri"/>
          <w:sz w:val="28"/>
          <w:szCs w:val="28"/>
        </w:rPr>
        <w:t>, có giá trị sử dụng không quá 12 tháng kể từ ngày ký kết luận sức khỏe.</w:t>
      </w:r>
    </w:p>
    <w:p w14:paraId="51E4065C"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Kiểm soát bệnh lý: Tuyệt đối không bố trí người trực tiếp chế biến, phục vụ mắc các bệnh lây nhiễm (tả, lỵ, thương hàn, viêm gan A, E, viêm da nhiễm trùng, lao phổi, tiêu chảy cấp) theo quy định tại khoản 2 Điều 5 Nghị định số 155/2018/NĐ-CP. Tổ chức, cá nhân thực hiện quyền khai thác phải có cam kết định kỳ xét nghiệm các chỉ số bắt buộc cho nhân sự trực tiếp chế biến theo quy định của Bộ Y tế.</w:t>
      </w:r>
    </w:p>
    <w:p w14:paraId="33D4DF0C"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Toàn bộ nhân sự trực tiếp chế biến, phục vụ phải được tập huấn kiến thức về an toàn thực phẩm và có xác nhận của người phụ trách cơ sở, theo quy định tại khoản 2 Điều 5 Nghị định số 155/2018/NĐ-CP.</w:t>
      </w:r>
    </w:p>
    <w:p w14:paraId="087DB13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Trang phục và vệ sinh: Nhân viên phải mặc bảo hộ lao động sạch sẽ (đồng phục, mũ chụp tóc, khẩu trang, găng tay chuyên dụng); cắt ngắn móng tay, không đeo đồ trang sức khi tiếp xúc trực tiếp với thức ăn, bảo đảm điều kiện chung về an toàn thực phẩm đối với cơ sở kinh doanh dịch vụ ăn uống theo Luật An toàn thực phẩm số 55/2010/QH12</w:t>
      </w:r>
    </w:p>
    <w:p w14:paraId="59046D5C"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Kỷ luật và Tác phong: Nhân sự phải có thái độ hòa nhã, tận tình, tôn trọng </w:t>
      </w:r>
      <w:r w:rsidRPr="003E2267">
        <w:rPr>
          <w:rFonts w:eastAsia="Calibri"/>
          <w:sz w:val="28"/>
          <w:szCs w:val="28"/>
        </w:rPr>
        <w:lastRenderedPageBreak/>
        <w:t>người bệnh và thân nhân; tuyệt đối không có hành vi gây khó dễ, vòi vĩnh hoặc nhận quà biếu dưới mọi hình thức trong quá trình phục vụ.</w:t>
      </w:r>
    </w:p>
    <w:p w14:paraId="19E44F38"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Tổ chức, cá nhân thực hiện quyền khai thác phải chứng minh năng lực bằng cách nộp đầy đủ văn bằng, chứng chỉ, hợp đồng lao động và tài liệu chứng minh kinh nghiệm cho các vị trí: </w:t>
      </w:r>
    </w:p>
    <w:p w14:paraId="66BFE74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Vị trí: Quản lý điều hành (Tối thiểu 01 người) </w:t>
      </w:r>
    </w:p>
    <w:p w14:paraId="6B18FAD1"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Yêu cầu trình độ: Tốt nghiệp Đại học trở lên</w:t>
      </w:r>
    </w:p>
    <w:p w14:paraId="385B0436"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Kinh nghiệm làm việc: Có kinh nghiệm ở vị trí quản lý, điều hành.</w:t>
      </w:r>
    </w:p>
    <w:p w14:paraId="16BD4ED5"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Vị trí:  Bếp trưởng điều hành (Tối thiểu 01 người)</w:t>
      </w:r>
    </w:p>
    <w:p w14:paraId="7785F23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Yêu cầu trình độ: Có bằng tốt nghiệp hoặc chứng chỉ nghề kỹ thuật chế biến món ăn/nấu ăn từ trình độ Trung cấp trở lên.</w:t>
      </w:r>
    </w:p>
    <w:p w14:paraId="68AAABC1"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Kinh nghiệm làm việc: Có tối thiểu 03 năm kinh nghiệm làm bếp trưởng hoặc bếp chính tại các bếp ăn tập thể hoặc bếp ăn cơ sở lưu trú.</w:t>
      </w:r>
    </w:p>
    <w:p w14:paraId="768C01B9"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Vị trí: Nhân sự phụ trách Dinh dưỡng và Tiết chế (Tối thiểu 01 người)</w:t>
      </w:r>
    </w:p>
    <w:p w14:paraId="742B04A6"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Yêu cầu trình độ: Có bằng tốt nghiệp trình độ Cao đẳng chuyên ngành Dinh dưỡng trở lên.</w:t>
      </w:r>
    </w:p>
    <w:p w14:paraId="315E4A9E"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Kinh nghiệm làm việc: Có tối thiểu 01 năm kinh nghiệm trực tiếp làm công tác  định lượng, tính toán calo hoặc phối hợp kiểm soát suất ăn bệnh lý tại các cơ sở y tế.</w:t>
      </w:r>
    </w:p>
    <w:p w14:paraId="0961620C"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9. Yêu cầu về Nghĩa vụ tài chính, thuế và chi phí vận hành</w:t>
      </w:r>
    </w:p>
    <w:p w14:paraId="77FB273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Nộp tiền Bảo đảm thực hiện hợp đồng đúng thời hạn.</w:t>
      </w:r>
    </w:p>
    <w:p w14:paraId="791D8143"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w:t>
      </w:r>
      <w:r>
        <w:rPr>
          <w:rFonts w:eastAsia="Calibri"/>
          <w:sz w:val="28"/>
          <w:szCs w:val="28"/>
        </w:rPr>
        <w:t>Hàng tháng t</w:t>
      </w:r>
      <w:r w:rsidRPr="003E2267">
        <w:rPr>
          <w:rFonts w:eastAsia="Calibri"/>
          <w:sz w:val="28"/>
          <w:szCs w:val="28"/>
        </w:rPr>
        <w:t xml:space="preserve">hanh toán đầy đủ, đúng hạn tiền </w:t>
      </w:r>
      <w:r>
        <w:rPr>
          <w:rFonts w:eastAsia="Calibri"/>
          <w:sz w:val="28"/>
          <w:szCs w:val="28"/>
        </w:rPr>
        <w:t>thực hiện quyền khai thác tài sản công</w:t>
      </w:r>
      <w:r w:rsidRPr="003E2267">
        <w:rPr>
          <w:rFonts w:eastAsia="Calibri"/>
          <w:sz w:val="28"/>
          <w:szCs w:val="28"/>
        </w:rPr>
        <w:t>, tiền điện, nước, dịch vụ vệ sinh</w:t>
      </w:r>
      <w:r>
        <w:rPr>
          <w:rFonts w:eastAsia="Calibri"/>
          <w:sz w:val="28"/>
          <w:szCs w:val="28"/>
        </w:rPr>
        <w:t xml:space="preserve"> và các dịch vụ khác mà bên nhận quyền khai thác sử dụng</w:t>
      </w:r>
      <w:r w:rsidRPr="003E2267">
        <w:rPr>
          <w:rFonts w:eastAsia="Calibri"/>
          <w:sz w:val="28"/>
          <w:szCs w:val="28"/>
        </w:rPr>
        <w:t xml:space="preserve"> cho Bệnh viện theo đúng thỏa thuận.</w:t>
      </w:r>
    </w:p>
    <w:p w14:paraId="7BF4DE66"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Tự kê khai, thực hiện đầy đủ nghĩa vụ thuế (thuế GTGT, thuế TNDN, thuế TNCN...) và các khoản phí, lệ phí phát sinh từ hoạt động kinh doanh dịch vụ với cơ quan thuế nhà nước theo quy định.</w:t>
      </w:r>
    </w:p>
    <w:p w14:paraId="7C04E104" w14:textId="77777777" w:rsidR="00086959" w:rsidRPr="003E2267" w:rsidRDefault="00086959" w:rsidP="00086959">
      <w:pPr>
        <w:widowControl w:val="0"/>
        <w:tabs>
          <w:tab w:val="left" w:pos="1276"/>
        </w:tabs>
        <w:spacing w:line="340" w:lineRule="exact"/>
        <w:ind w:firstLine="567"/>
        <w:rPr>
          <w:rFonts w:eastAsia="Calibri"/>
          <w:b/>
          <w:sz w:val="28"/>
          <w:szCs w:val="28"/>
        </w:rPr>
      </w:pPr>
      <w:r w:rsidRPr="003E2267">
        <w:rPr>
          <w:rFonts w:eastAsia="Calibri"/>
          <w:b/>
          <w:sz w:val="28"/>
          <w:szCs w:val="28"/>
        </w:rPr>
        <w:t>10. Yêu cầu về tiếp nhận phản ánh, bồi thường thiệt hại và báo cáo</w:t>
      </w:r>
    </w:p>
    <w:p w14:paraId="6239614B"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Khoa Dinh dưỡng tiếp nhận và phản hồi những ý kiến đóng góp của người bệnh tới nhà cung cấp để có biện pháp khắc phục kịp thời.</w:t>
      </w:r>
    </w:p>
    <w:p w14:paraId="4E566A6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Khoa Dinh dưỡng lập biên bản khi có vi phạm xảy ra và xử lý vi phạm (500.000 đồng/ 01 biên bản; 03 biên bản vi phạm lỗi chuyên môn nghiêm trọng/ 01 tháng đề nghị chấm dứt hợp đồng)</w:t>
      </w:r>
    </w:p>
    <w:p w14:paraId="643D3B1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Nếu hành vi của Tổ chức, cá nhân thực hiện quyền khai thác  làm phát sinh thiệt hại cho Bệnh viện hoặc bên thứ ba thì Tổ chức, cá nhân thực hiện quyền khai thác  phải bồi thường toàn bộ thiệt hại, bao gồm:</w:t>
      </w:r>
    </w:p>
    <w:p w14:paraId="1C121391"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chi phí khám chữa bệnh; </w:t>
      </w:r>
    </w:p>
    <w:p w14:paraId="7C856C73"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chi phí điều tra; </w:t>
      </w:r>
    </w:p>
    <w:p w14:paraId="259E829F"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chi phí xét nghiệm; </w:t>
      </w:r>
    </w:p>
    <w:p w14:paraId="4D05D791"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chi phí thu hồi thực phẩm; </w:t>
      </w:r>
    </w:p>
    <w:p w14:paraId="742BAC4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thiệt hại về tài sản; </w:t>
      </w:r>
    </w:p>
    <w:p w14:paraId="4A7D9230"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thiệt hại về uy tín của Bệnh viện theo quyết định của cơ quan có thẩm </w:t>
      </w:r>
      <w:r w:rsidRPr="003E2267">
        <w:rPr>
          <w:rFonts w:eastAsia="Calibri"/>
          <w:sz w:val="28"/>
          <w:szCs w:val="28"/>
        </w:rPr>
        <w:lastRenderedPageBreak/>
        <w:t xml:space="preserve">quyền; </w:t>
      </w:r>
    </w:p>
    <w:p w14:paraId="4E5E064A"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các khoản phạt, bồi thường khác theo quy định pháp luật.</w:t>
      </w:r>
    </w:p>
    <w:p w14:paraId="08243055" w14:textId="77777777" w:rsidR="00086959" w:rsidRPr="003E2267" w:rsidRDefault="00086959" w:rsidP="00086959">
      <w:pPr>
        <w:widowControl w:val="0"/>
        <w:tabs>
          <w:tab w:val="left" w:pos="1276"/>
        </w:tabs>
        <w:spacing w:line="340" w:lineRule="exact"/>
        <w:ind w:firstLine="567"/>
        <w:rPr>
          <w:rFonts w:eastAsia="Calibri"/>
          <w:sz w:val="28"/>
          <w:szCs w:val="28"/>
        </w:rPr>
      </w:pPr>
      <w:r w:rsidRPr="003E2267">
        <w:rPr>
          <w:rFonts w:eastAsia="Calibri"/>
          <w:sz w:val="28"/>
          <w:szCs w:val="28"/>
        </w:rPr>
        <w:t xml:space="preserve"> - Chấp hành nghiêm túc sự kiểm tra, giám sát định kỳ hoặc đột xuất của Bệnh viện; gửi báo cáo định kỳ hàng tháng/quý về tình hình vận hành, danh mục nhân sự và hồ sơ ATTP cho Khoa Dinh dưỡng của Bệnh viện lưu hồ sơ.</w:t>
      </w:r>
    </w:p>
    <w:p w14:paraId="1A8A067F" w14:textId="77777777" w:rsidR="00293C0D" w:rsidRDefault="00293C0D"/>
    <w:sectPr w:rsidR="00293C0D" w:rsidSect="008C0D56">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6959"/>
    <w:rsid w:val="00086959"/>
    <w:rsid w:val="00293C0D"/>
    <w:rsid w:val="008C0D56"/>
    <w:rsid w:val="009A1A68"/>
    <w:rsid w:val="00AC303C"/>
    <w:rsid w:val="00EB10E7"/>
    <w:rsid w:val="00EB1AFF"/>
    <w:rsid w:val="00F379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CD8F8"/>
  <w15:chartTrackingRefBased/>
  <w15:docId w15:val="{028D2899-6393-4618-83B3-1C67CA3E30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6959"/>
    <w:pPr>
      <w:spacing w:after="0" w:line="240" w:lineRule="auto"/>
      <w:jc w:val="both"/>
    </w:pPr>
    <w:rPr>
      <w:rFonts w:eastAsia="Times New Roman" w:cs="Times New Roman"/>
      <w:kern w:val="0"/>
      <w:szCs w:val="20"/>
      <w14:ligatures w14:val="none"/>
    </w:rPr>
  </w:style>
  <w:style w:type="paragraph" w:styleId="Heading1">
    <w:name w:val="heading 1"/>
    <w:basedOn w:val="Normal"/>
    <w:next w:val="Normal"/>
    <w:link w:val="Heading1Char"/>
    <w:uiPriority w:val="9"/>
    <w:qFormat/>
    <w:rsid w:val="00086959"/>
    <w:pPr>
      <w:keepNext/>
      <w:keepLines/>
      <w:spacing w:before="360" w:after="80" w:line="259" w:lineRule="auto"/>
      <w:jc w:val="left"/>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86959"/>
    <w:pPr>
      <w:keepNext/>
      <w:keepLines/>
      <w:spacing w:before="160" w:after="80" w:line="259" w:lineRule="auto"/>
      <w:jc w:val="left"/>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86959"/>
    <w:pPr>
      <w:keepNext/>
      <w:keepLines/>
      <w:spacing w:before="160" w:after="80" w:line="259" w:lineRule="auto"/>
      <w:jc w:val="left"/>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86959"/>
    <w:pPr>
      <w:keepNext/>
      <w:keepLines/>
      <w:spacing w:before="80" w:after="40" w:line="259" w:lineRule="auto"/>
      <w:jc w:val="left"/>
      <w:outlineLvl w:val="3"/>
    </w:pPr>
    <w:rPr>
      <w:rFonts w:asciiTheme="minorHAnsi" w:eastAsiaTheme="majorEastAsia" w:hAnsiTheme="minorHAnsi" w:cstheme="majorBidi"/>
      <w:i/>
      <w:iCs/>
      <w:color w:val="2F5496" w:themeColor="accent1" w:themeShade="BF"/>
      <w:kern w:val="2"/>
      <w:szCs w:val="22"/>
      <w14:ligatures w14:val="standardContextual"/>
    </w:rPr>
  </w:style>
  <w:style w:type="paragraph" w:styleId="Heading5">
    <w:name w:val="heading 5"/>
    <w:basedOn w:val="Normal"/>
    <w:next w:val="Normal"/>
    <w:link w:val="Heading5Char"/>
    <w:uiPriority w:val="9"/>
    <w:semiHidden/>
    <w:unhideWhenUsed/>
    <w:qFormat/>
    <w:rsid w:val="00086959"/>
    <w:pPr>
      <w:keepNext/>
      <w:keepLines/>
      <w:spacing w:before="80" w:after="40" w:line="259" w:lineRule="auto"/>
      <w:jc w:val="left"/>
      <w:outlineLvl w:val="4"/>
    </w:pPr>
    <w:rPr>
      <w:rFonts w:asciiTheme="minorHAnsi" w:eastAsiaTheme="majorEastAsia" w:hAnsiTheme="minorHAnsi" w:cstheme="majorBidi"/>
      <w:color w:val="2F5496" w:themeColor="accent1" w:themeShade="BF"/>
      <w:kern w:val="2"/>
      <w:szCs w:val="22"/>
      <w14:ligatures w14:val="standardContextual"/>
    </w:rPr>
  </w:style>
  <w:style w:type="paragraph" w:styleId="Heading6">
    <w:name w:val="heading 6"/>
    <w:basedOn w:val="Normal"/>
    <w:next w:val="Normal"/>
    <w:link w:val="Heading6Char"/>
    <w:uiPriority w:val="9"/>
    <w:semiHidden/>
    <w:unhideWhenUsed/>
    <w:qFormat/>
    <w:rsid w:val="00086959"/>
    <w:pPr>
      <w:keepNext/>
      <w:keepLines/>
      <w:spacing w:before="40" w:line="259" w:lineRule="auto"/>
      <w:jc w:val="left"/>
      <w:outlineLvl w:val="5"/>
    </w:pPr>
    <w:rPr>
      <w:rFonts w:asciiTheme="minorHAnsi" w:eastAsiaTheme="majorEastAsia" w:hAnsiTheme="minorHAnsi" w:cstheme="majorBidi"/>
      <w:i/>
      <w:iCs/>
      <w:color w:val="595959" w:themeColor="text1" w:themeTint="A6"/>
      <w:kern w:val="2"/>
      <w:szCs w:val="22"/>
      <w14:ligatures w14:val="standardContextual"/>
    </w:rPr>
  </w:style>
  <w:style w:type="paragraph" w:styleId="Heading7">
    <w:name w:val="heading 7"/>
    <w:basedOn w:val="Normal"/>
    <w:next w:val="Normal"/>
    <w:link w:val="Heading7Char"/>
    <w:uiPriority w:val="9"/>
    <w:semiHidden/>
    <w:unhideWhenUsed/>
    <w:qFormat/>
    <w:rsid w:val="00086959"/>
    <w:pPr>
      <w:keepNext/>
      <w:keepLines/>
      <w:spacing w:before="40" w:line="259" w:lineRule="auto"/>
      <w:jc w:val="left"/>
      <w:outlineLvl w:val="6"/>
    </w:pPr>
    <w:rPr>
      <w:rFonts w:asciiTheme="minorHAnsi" w:eastAsiaTheme="majorEastAsia" w:hAnsiTheme="minorHAnsi" w:cstheme="majorBidi"/>
      <w:color w:val="595959" w:themeColor="text1" w:themeTint="A6"/>
      <w:kern w:val="2"/>
      <w:szCs w:val="22"/>
      <w14:ligatures w14:val="standardContextual"/>
    </w:rPr>
  </w:style>
  <w:style w:type="paragraph" w:styleId="Heading8">
    <w:name w:val="heading 8"/>
    <w:basedOn w:val="Normal"/>
    <w:next w:val="Normal"/>
    <w:link w:val="Heading8Char"/>
    <w:uiPriority w:val="9"/>
    <w:semiHidden/>
    <w:unhideWhenUsed/>
    <w:qFormat/>
    <w:rsid w:val="00086959"/>
    <w:pPr>
      <w:keepNext/>
      <w:keepLines/>
      <w:spacing w:line="259" w:lineRule="auto"/>
      <w:jc w:val="left"/>
      <w:outlineLvl w:val="7"/>
    </w:pPr>
    <w:rPr>
      <w:rFonts w:asciiTheme="minorHAnsi" w:eastAsiaTheme="majorEastAsia" w:hAnsiTheme="minorHAnsi" w:cstheme="majorBidi"/>
      <w:i/>
      <w:iCs/>
      <w:color w:val="272727" w:themeColor="text1" w:themeTint="D8"/>
      <w:kern w:val="2"/>
      <w:szCs w:val="22"/>
      <w14:ligatures w14:val="standardContextual"/>
    </w:rPr>
  </w:style>
  <w:style w:type="paragraph" w:styleId="Heading9">
    <w:name w:val="heading 9"/>
    <w:basedOn w:val="Normal"/>
    <w:next w:val="Normal"/>
    <w:link w:val="Heading9Char"/>
    <w:uiPriority w:val="9"/>
    <w:semiHidden/>
    <w:unhideWhenUsed/>
    <w:qFormat/>
    <w:rsid w:val="00086959"/>
    <w:pPr>
      <w:keepNext/>
      <w:keepLines/>
      <w:spacing w:line="259" w:lineRule="auto"/>
      <w:jc w:val="left"/>
      <w:outlineLvl w:val="8"/>
    </w:pPr>
    <w:rPr>
      <w:rFonts w:asciiTheme="minorHAnsi" w:eastAsiaTheme="majorEastAsia" w:hAnsiTheme="minorHAnsi" w:cstheme="majorBidi"/>
      <w:color w:val="272727" w:themeColor="text1" w:themeTint="D8"/>
      <w:kern w:val="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695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8695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86959"/>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86959"/>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086959"/>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08695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695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695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695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6959"/>
    <w:pPr>
      <w:spacing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869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6959"/>
    <w:pPr>
      <w:numPr>
        <w:ilvl w:val="1"/>
      </w:numPr>
      <w:spacing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8695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6959"/>
    <w:pPr>
      <w:spacing w:before="160" w:after="160" w:line="259" w:lineRule="auto"/>
      <w:jc w:val="center"/>
    </w:pPr>
    <w:rPr>
      <w:rFonts w:eastAsiaTheme="minorHAnsi" w:cstheme="minorBidi"/>
      <w:i/>
      <w:iCs/>
      <w:color w:val="404040" w:themeColor="text1" w:themeTint="BF"/>
      <w:kern w:val="2"/>
      <w:szCs w:val="22"/>
      <w14:ligatures w14:val="standardContextual"/>
    </w:rPr>
  </w:style>
  <w:style w:type="character" w:customStyle="1" w:styleId="QuoteChar">
    <w:name w:val="Quote Char"/>
    <w:basedOn w:val="DefaultParagraphFont"/>
    <w:link w:val="Quote"/>
    <w:uiPriority w:val="29"/>
    <w:rsid w:val="00086959"/>
    <w:rPr>
      <w:i/>
      <w:iCs/>
      <w:color w:val="404040" w:themeColor="text1" w:themeTint="BF"/>
    </w:rPr>
  </w:style>
  <w:style w:type="paragraph" w:styleId="ListParagraph">
    <w:name w:val="List Paragraph"/>
    <w:basedOn w:val="Normal"/>
    <w:uiPriority w:val="34"/>
    <w:qFormat/>
    <w:rsid w:val="00086959"/>
    <w:pPr>
      <w:spacing w:after="160" w:line="259" w:lineRule="auto"/>
      <w:ind w:left="720"/>
      <w:contextualSpacing/>
      <w:jc w:val="left"/>
    </w:pPr>
    <w:rPr>
      <w:rFonts w:eastAsiaTheme="minorHAnsi" w:cstheme="minorBidi"/>
      <w:kern w:val="2"/>
      <w:szCs w:val="22"/>
      <w14:ligatures w14:val="standardContextual"/>
    </w:rPr>
  </w:style>
  <w:style w:type="character" w:styleId="IntenseEmphasis">
    <w:name w:val="Intense Emphasis"/>
    <w:basedOn w:val="DefaultParagraphFont"/>
    <w:uiPriority w:val="21"/>
    <w:qFormat/>
    <w:rsid w:val="00086959"/>
    <w:rPr>
      <w:i/>
      <w:iCs/>
      <w:color w:val="2F5496" w:themeColor="accent1" w:themeShade="BF"/>
    </w:rPr>
  </w:style>
  <w:style w:type="paragraph" w:styleId="IntenseQuote">
    <w:name w:val="Intense Quote"/>
    <w:basedOn w:val="Normal"/>
    <w:next w:val="Normal"/>
    <w:link w:val="IntenseQuoteChar"/>
    <w:uiPriority w:val="30"/>
    <w:qFormat/>
    <w:rsid w:val="00086959"/>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eastAsiaTheme="minorHAnsi" w:cstheme="minorBidi"/>
      <w:i/>
      <w:iCs/>
      <w:color w:val="2F5496" w:themeColor="accent1" w:themeShade="BF"/>
      <w:kern w:val="2"/>
      <w:szCs w:val="22"/>
      <w14:ligatures w14:val="standardContextual"/>
    </w:rPr>
  </w:style>
  <w:style w:type="character" w:customStyle="1" w:styleId="IntenseQuoteChar">
    <w:name w:val="Intense Quote Char"/>
    <w:basedOn w:val="DefaultParagraphFont"/>
    <w:link w:val="IntenseQuote"/>
    <w:uiPriority w:val="30"/>
    <w:rsid w:val="00086959"/>
    <w:rPr>
      <w:i/>
      <w:iCs/>
      <w:color w:val="2F5496" w:themeColor="accent1" w:themeShade="BF"/>
    </w:rPr>
  </w:style>
  <w:style w:type="character" w:styleId="IntenseReference">
    <w:name w:val="Intense Reference"/>
    <w:basedOn w:val="DefaultParagraphFont"/>
    <w:uiPriority w:val="32"/>
    <w:qFormat/>
    <w:rsid w:val="0008695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3650</Words>
  <Characters>20809</Characters>
  <Application>Microsoft Office Word</Application>
  <DocSecurity>0</DocSecurity>
  <Lines>173</Lines>
  <Paragraphs>48</Paragraphs>
  <ScaleCrop>false</ScaleCrop>
  <Company/>
  <LinksUpToDate>false</LinksUpToDate>
  <CharactersWithSpaces>24411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4</cp:revision>
  <dcterms:created xsi:type="dcterms:W3CDTF">2026-10-22T05:41:00Z</dcterms:created>
  <dcterms:modified xsi:type="dcterms:W3CDTF">2026-10-22T10:37:00Z</dcterms:modified>
</cp:coreProperties>
</file>